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37C7" w:rsidRDefault="001137C7">
      <w:pPr>
        <w:pStyle w:val="1"/>
      </w:pPr>
      <w:r>
        <w:fldChar w:fldCharType="begin"/>
      </w:r>
      <w:r>
        <w:instrText>HYPERLINK "garantF1://70884258.0"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образования и науки РФ от 12 марта 2015 г. N 206</w:t>
      </w:r>
      <w:r>
        <w:rPr>
          <w:rStyle w:val="a4"/>
          <w:rFonts w:cs="Arial"/>
          <w:b w:val="0"/>
          <w:bCs w:val="0"/>
        </w:rPr>
        <w:br/>
        <w:t>"Об утверждении федерального государственного образовательного стандарта высшего образования по направлению подготовки 15.03.06 Мехатроника и робототехника (уровень бакалавриата)"</w:t>
      </w:r>
      <w:r>
        <w:fldChar w:fldCharType="end"/>
      </w:r>
    </w:p>
    <w:p w:rsidR="001137C7" w:rsidRDefault="001137C7"/>
    <w:p w:rsidR="001137C7" w:rsidRDefault="001137C7">
      <w:r>
        <w:t xml:space="preserve">В соответствии с </w:t>
      </w:r>
      <w:hyperlink r:id="rId4" w:history="1">
        <w:r>
          <w:rPr>
            <w:rStyle w:val="a4"/>
            <w:rFonts w:cs="Arial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5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582; N 27, ст. 3776), и </w:t>
      </w:r>
      <w:hyperlink r:id="rId6" w:history="1">
        <w:r>
          <w:rPr>
            <w:rStyle w:val="a4"/>
            <w:rFonts w:cs="Arial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4377; 2014, N 38, ст. 5069), приказываю:</w:t>
      </w:r>
    </w:p>
    <w:p w:rsidR="001137C7" w:rsidRDefault="001137C7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Arial"/>
          </w:rPr>
          <w:t>федеральный государственный образовательный стандарт</w:t>
        </w:r>
      </w:hyperlink>
      <w:r>
        <w:t xml:space="preserve"> высшего образования по направлению подготовки </w:t>
      </w:r>
      <w:hyperlink r:id="rId8" w:history="1">
        <w:r>
          <w:rPr>
            <w:rStyle w:val="a4"/>
            <w:rFonts w:cs="Arial"/>
          </w:rPr>
          <w:t>15.03.06</w:t>
        </w:r>
      </w:hyperlink>
      <w:r>
        <w:t xml:space="preserve"> Мехатроника и робототехника (уровень бакалавриата).</w:t>
      </w:r>
    </w:p>
    <w:p w:rsidR="001137C7" w:rsidRDefault="001137C7">
      <w:bookmarkStart w:id="2" w:name="sub_2"/>
      <w:bookmarkEnd w:id="1"/>
      <w:r>
        <w:t>2. Признать утратившими силу:</w:t>
      </w:r>
    </w:p>
    <w:bookmarkStart w:id="3" w:name="sub_22"/>
    <w:bookmarkEnd w:id="2"/>
    <w:p w:rsidR="001137C7" w:rsidRDefault="001137C7">
      <w:r>
        <w:fldChar w:fldCharType="begin"/>
      </w:r>
      <w:r>
        <w:instrText>HYPERLINK "garantF1://97041.0"</w:instrText>
      </w:r>
      <w:r>
        <w:fldChar w:fldCharType="separate"/>
      </w:r>
      <w:r>
        <w:rPr>
          <w:rStyle w:val="a4"/>
          <w:rFonts w:cs="Arial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9 ноября 2009 г. N 545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221000 Мехатроника и робототехника (квалификация (степень) "бакалавр")" (зарегистрирован Министерством юстиции Российской Федерации 16 декабря 2009 г., регистрационный N 15631);</w:t>
      </w:r>
    </w:p>
    <w:bookmarkStart w:id="4" w:name="sub_23"/>
    <w:bookmarkEnd w:id="3"/>
    <w:p w:rsidR="001137C7" w:rsidRDefault="001137C7">
      <w:r>
        <w:fldChar w:fldCharType="begin"/>
      </w:r>
      <w:r>
        <w:instrText>HYPERLINK "garantF1://55071485.47"</w:instrText>
      </w:r>
      <w:r>
        <w:fldChar w:fldCharType="separate"/>
      </w:r>
      <w:r>
        <w:rPr>
          <w:rStyle w:val="a4"/>
          <w:rFonts w:cs="Arial"/>
        </w:rPr>
        <w:t>пункт 47</w:t>
      </w:r>
      <w:r>
        <w:fldChar w:fldCharType="end"/>
      </w:r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</w:t>
      </w:r>
      <w:hyperlink r:id="rId9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образования и науки Российской Федерации от 18 мая 2011 г. N 1657 (зарегистрирован Министерством юстиции Российской Федерации 1 июня 2011 г., регистрационный N 20902);</w:t>
      </w:r>
    </w:p>
    <w:bookmarkStart w:id="5" w:name="sub_24"/>
    <w:bookmarkEnd w:id="4"/>
    <w:p w:rsidR="001137C7" w:rsidRDefault="001137C7">
      <w:r>
        <w:fldChar w:fldCharType="begin"/>
      </w:r>
      <w:r>
        <w:instrText>HYPERLINK "garantF1://55071681.1132"</w:instrText>
      </w:r>
      <w:r>
        <w:fldChar w:fldCharType="separate"/>
      </w:r>
      <w:r>
        <w:rPr>
          <w:rStyle w:val="a4"/>
          <w:rFonts w:cs="Arial"/>
        </w:rPr>
        <w:t>пункт 132</w:t>
      </w:r>
      <w:r>
        <w:fldChar w:fldCharType="end"/>
      </w:r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</w:t>
      </w:r>
      <w:hyperlink r:id="rId10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образования и науки Российской Федерации от 31 мая 2011 г. N 1975 (зарегистрирован Министерством юстиции Российской Федерации 28 июня 2011 г., регистрационный N 21200).</w:t>
      </w:r>
    </w:p>
    <w:bookmarkEnd w:id="5"/>
    <w:p w:rsidR="001137C7" w:rsidRDefault="001137C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9"/>
        <w:gridCol w:w="3303"/>
      </w:tblGrid>
      <w:tr w:rsidR="001137C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137C7" w:rsidRDefault="001137C7">
            <w:pPr>
              <w:pStyle w:val="aff8"/>
              <w:jc w:val="right"/>
            </w:pPr>
            <w:r>
              <w:t>Д.В. Ливанов</w:t>
            </w:r>
          </w:p>
        </w:tc>
      </w:tr>
    </w:tbl>
    <w:p w:rsidR="001137C7" w:rsidRDefault="001137C7"/>
    <w:p w:rsidR="001137C7" w:rsidRDefault="001137C7">
      <w:pPr>
        <w:pStyle w:val="afff1"/>
      </w:pPr>
      <w:r>
        <w:t>Зарегистрировано в Минюсте РФ 20 апреля 2015 г.</w:t>
      </w:r>
      <w:r>
        <w:br/>
        <w:t>Регистрационный N 36931</w:t>
      </w:r>
    </w:p>
    <w:p w:rsidR="001137C7" w:rsidRDefault="001137C7"/>
    <w:p w:rsidR="001137C7" w:rsidRDefault="001137C7">
      <w:pPr>
        <w:ind w:firstLine="698"/>
        <w:jc w:val="right"/>
      </w:pPr>
      <w:bookmarkStart w:id="6" w:name="sub_1000"/>
      <w:r>
        <w:rPr>
          <w:rStyle w:val="a3"/>
          <w:bCs/>
        </w:rPr>
        <w:t>Приложение</w:t>
      </w:r>
    </w:p>
    <w:bookmarkEnd w:id="6"/>
    <w:p w:rsidR="001137C7" w:rsidRDefault="001137C7"/>
    <w:p w:rsidR="001137C7" w:rsidRDefault="001137C7">
      <w:pPr>
        <w:pStyle w:val="1"/>
      </w:pPr>
      <w:r>
        <w:t>Федеральный государственный образовательный стандарт высшего образования</w:t>
      </w:r>
      <w:r>
        <w:br/>
        <w:t>Уровень высшего образования</w:t>
      </w:r>
      <w:r>
        <w:br/>
        <w:t>Бакалавриат</w:t>
      </w:r>
      <w:r>
        <w:br/>
        <w:t>Направление подготовки</w:t>
      </w:r>
      <w:r>
        <w:br/>
      </w:r>
      <w:r>
        <w:lastRenderedPageBreak/>
        <w:t>15.03.06 Мехатроника и робототехника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приказом</w:t>
        </w:r>
      </w:hyperlink>
      <w:r>
        <w:t xml:space="preserve"> Министерства образования и науки РФ от 12 марта 2015 г. N 206)</w:t>
      </w:r>
    </w:p>
    <w:p w:rsidR="001137C7" w:rsidRDefault="001137C7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137C7" w:rsidRDefault="001137C7">
      <w:pPr>
        <w:pStyle w:val="afb"/>
      </w:pPr>
      <w:bookmarkStart w:id="7" w:name="sub_475980388"/>
      <w:r>
        <w:t xml:space="preserve">См. </w:t>
      </w:r>
      <w:hyperlink r:id="rId11" w:history="1">
        <w:r>
          <w:rPr>
            <w:rStyle w:val="a4"/>
            <w:rFonts w:cs="Arial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:rsidR="001137C7" w:rsidRDefault="001137C7">
      <w:pPr>
        <w:pStyle w:val="1"/>
      </w:pPr>
      <w:bookmarkStart w:id="8" w:name="sub_10"/>
      <w:bookmarkEnd w:id="7"/>
      <w:r>
        <w:t>I. Область применения</w:t>
      </w:r>
    </w:p>
    <w:bookmarkEnd w:id="8"/>
    <w:p w:rsidR="001137C7" w:rsidRDefault="001137C7"/>
    <w:p w:rsidR="001137C7" w:rsidRDefault="001137C7"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</w:t>
      </w:r>
      <w:hyperlink r:id="rId12" w:history="1">
        <w:r>
          <w:rPr>
            <w:rStyle w:val="a4"/>
            <w:rFonts w:cs="Arial"/>
          </w:rPr>
          <w:t>15.03.06</w:t>
        </w:r>
      </w:hyperlink>
      <w:r>
        <w:t xml:space="preserve"> Мехатроника и робототехника (далее соответственно - программа бакалавриата, направление подготовки).</w:t>
      </w:r>
    </w:p>
    <w:p w:rsidR="001137C7" w:rsidRDefault="001137C7"/>
    <w:p w:rsidR="001137C7" w:rsidRDefault="001137C7">
      <w:pPr>
        <w:pStyle w:val="1"/>
      </w:pPr>
      <w:bookmarkStart w:id="9" w:name="sub_20"/>
      <w:r>
        <w:t>II. Используемые сокращения</w:t>
      </w:r>
    </w:p>
    <w:bookmarkEnd w:id="9"/>
    <w:p w:rsidR="001137C7" w:rsidRDefault="001137C7"/>
    <w:p w:rsidR="001137C7" w:rsidRDefault="001137C7">
      <w:r>
        <w:t>В настоящем федеральном государственном образовательном стандарте используются следующие сокращения:</w:t>
      </w:r>
    </w:p>
    <w:p w:rsidR="001137C7" w:rsidRDefault="001137C7">
      <w:r>
        <w:t>ОК - общекультурные компетенции;</w:t>
      </w:r>
    </w:p>
    <w:p w:rsidR="001137C7" w:rsidRDefault="001137C7">
      <w:r>
        <w:t>ОПК - общепрофессиональные компетенции;</w:t>
      </w:r>
    </w:p>
    <w:p w:rsidR="001137C7" w:rsidRDefault="001137C7">
      <w:r>
        <w:t>ПК - профессиональные компетенции;</w:t>
      </w:r>
    </w:p>
    <w:p w:rsidR="001137C7" w:rsidRDefault="001137C7">
      <w:r>
        <w:t>ФГОС ВО - федеральный государственный образовательный стандарт высшего образования;</w:t>
      </w:r>
    </w:p>
    <w:p w:rsidR="001137C7" w:rsidRDefault="001137C7">
      <w:r>
        <w:t>сетевая форма - сетевая форма реализации образовательных программ.</w:t>
      </w:r>
    </w:p>
    <w:p w:rsidR="001137C7" w:rsidRDefault="001137C7"/>
    <w:p w:rsidR="001137C7" w:rsidRDefault="001137C7">
      <w:pPr>
        <w:pStyle w:val="1"/>
      </w:pPr>
      <w:bookmarkStart w:id="10" w:name="sub_30"/>
      <w:r>
        <w:t>III. Характеристика направления подготовки</w:t>
      </w:r>
    </w:p>
    <w:bookmarkEnd w:id="10"/>
    <w:p w:rsidR="001137C7" w:rsidRDefault="001137C7"/>
    <w:p w:rsidR="001137C7" w:rsidRDefault="001137C7">
      <w:bookmarkStart w:id="11" w:name="sub_31"/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137C7" w:rsidRDefault="001137C7">
      <w:pPr>
        <w:pStyle w:val="afb"/>
        <w:rPr>
          <w:color w:val="000000"/>
          <w:sz w:val="16"/>
          <w:szCs w:val="16"/>
        </w:rPr>
      </w:pPr>
      <w:bookmarkStart w:id="12" w:name="sub_32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Start w:id="13" w:name="sub_475992796"/>
    <w:bookmarkEnd w:id="12"/>
    <w:p w:rsidR="001137C7" w:rsidRDefault="001137C7">
      <w:pPr>
        <w:pStyle w:val="afc"/>
      </w:pPr>
      <w:r>
        <w:fldChar w:fldCharType="begin"/>
      </w:r>
      <w:r>
        <w:instrText>HYPERLINK "garantF1://71118002.10111"</w:instrText>
      </w:r>
      <w:r>
        <w:fldChar w:fldCharType="separate"/>
      </w:r>
      <w:r>
        <w:rPr>
          <w:rStyle w:val="a4"/>
          <w:rFonts w:cs="Arial"/>
        </w:rPr>
        <w:t>Приказом</w:t>
      </w:r>
      <w:r>
        <w:fldChar w:fldCharType="end"/>
      </w:r>
      <w:r>
        <w:t xml:space="preserve"> Минобрнауки России от 9 сентября 2015 г. N 999 в пункт 3.2 внесены изменения</w:t>
      </w:r>
    </w:p>
    <w:bookmarkEnd w:id="13"/>
    <w:p w:rsidR="001137C7" w:rsidRDefault="001137C7">
      <w:pPr>
        <w:pStyle w:val="afc"/>
      </w:pPr>
      <w:r>
        <w:fldChar w:fldCharType="begin"/>
      </w:r>
      <w:r>
        <w:instrText>HYPERLINK "garantF1://57305419.32"</w:instrText>
      </w:r>
      <w:r>
        <w:fldChar w:fldCharType="separate"/>
      </w:r>
      <w:r>
        <w:rPr>
          <w:rStyle w:val="a4"/>
          <w:rFonts w:cs="Arial"/>
        </w:rPr>
        <w:t>См. текст пункта в предыдущей редакции</w:t>
      </w:r>
      <w:r>
        <w:fldChar w:fldCharType="end"/>
      </w:r>
    </w:p>
    <w:p w:rsidR="001137C7" w:rsidRDefault="001137C7">
      <w:r>
        <w:t>3.2. Обучение по программе бакалавриата в организациях осуществляется в очной, очно-заочной и заочной формах обучения.</w:t>
      </w:r>
    </w:p>
    <w:p w:rsidR="001137C7" w:rsidRDefault="001137C7"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1137C7" w:rsidRDefault="001137C7">
      <w:pPr>
        <w:pStyle w:val="afb"/>
        <w:rPr>
          <w:color w:val="000000"/>
          <w:sz w:val="16"/>
          <w:szCs w:val="16"/>
        </w:rPr>
      </w:pPr>
      <w:bookmarkStart w:id="14" w:name="sub_33"/>
      <w:r>
        <w:rPr>
          <w:color w:val="000000"/>
          <w:sz w:val="16"/>
          <w:szCs w:val="16"/>
        </w:rPr>
        <w:t>Информация об изменениях:</w:t>
      </w:r>
    </w:p>
    <w:bookmarkStart w:id="15" w:name="sub_475995696"/>
    <w:bookmarkEnd w:id="14"/>
    <w:p w:rsidR="001137C7" w:rsidRDefault="001137C7">
      <w:pPr>
        <w:pStyle w:val="afc"/>
      </w:pPr>
      <w:r>
        <w:fldChar w:fldCharType="begin"/>
      </w:r>
      <w:r>
        <w:instrText>HYPERLINK "garantF1://71118002.10112"</w:instrText>
      </w:r>
      <w:r>
        <w:fldChar w:fldCharType="separate"/>
      </w:r>
      <w:r>
        <w:rPr>
          <w:rStyle w:val="a4"/>
          <w:rFonts w:cs="Arial"/>
        </w:rPr>
        <w:t>Приказом</w:t>
      </w:r>
      <w:r>
        <w:fldChar w:fldCharType="end"/>
      </w:r>
      <w:r>
        <w:t xml:space="preserve"> Минобрнауки России от 9 сентября 2015 г. N 999 в пункт 3.3 внесены изменения</w:t>
      </w:r>
    </w:p>
    <w:bookmarkEnd w:id="15"/>
    <w:p w:rsidR="001137C7" w:rsidRDefault="001137C7">
      <w:pPr>
        <w:pStyle w:val="afc"/>
      </w:pPr>
      <w:r>
        <w:fldChar w:fldCharType="begin"/>
      </w:r>
      <w:r>
        <w:instrText>HYPERLINK "garantF1://57305419.33"</w:instrText>
      </w:r>
      <w:r>
        <w:fldChar w:fldCharType="separate"/>
      </w:r>
      <w:r>
        <w:rPr>
          <w:rStyle w:val="a4"/>
          <w:rFonts w:cs="Arial"/>
        </w:rPr>
        <w:t>См. текст пункта в предыдущей редакции</w:t>
      </w:r>
      <w:r>
        <w:fldChar w:fldCharType="end"/>
      </w:r>
    </w:p>
    <w:p w:rsidR="001137C7" w:rsidRDefault="001137C7">
      <w:r>
        <w:t>3.3. Срок получения образования по программе бакалавриата:</w:t>
      </w:r>
    </w:p>
    <w:p w:rsidR="001137C7" w:rsidRDefault="001137C7"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</w:t>
      </w:r>
      <w:r>
        <w:lastRenderedPageBreak/>
        <w:t>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1137C7" w:rsidRDefault="001137C7">
      <w:bookmarkStart w:id="16" w:name="sub_3303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1137C7" w:rsidRDefault="001137C7">
      <w:bookmarkStart w:id="17" w:name="sub_3304"/>
      <w:bookmarkEnd w:id="16"/>
      <w:r>
        <w:t>при обучении по индивидуальному учебному плану вне зависимости от форм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за один учебный год при обучении по индивидуальному плану обучения не может составлять более 75 з.е.</w:t>
      </w:r>
    </w:p>
    <w:p w:rsidR="001137C7" w:rsidRDefault="001137C7">
      <w:bookmarkStart w:id="18" w:name="sub_3305"/>
      <w:bookmarkEnd w:id="17"/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1137C7" w:rsidRDefault="001137C7">
      <w:bookmarkStart w:id="19" w:name="sub_34"/>
      <w:bookmarkEnd w:id="18"/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bookmarkEnd w:id="19"/>
    <w:p w:rsidR="001137C7" w:rsidRDefault="001137C7"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137C7" w:rsidRDefault="001137C7">
      <w:bookmarkStart w:id="20" w:name="sub_35"/>
      <w:r>
        <w:t>3.5. Реализация программы бакалавриата возможна с использованием сетевой формы.</w:t>
      </w:r>
    </w:p>
    <w:p w:rsidR="001137C7" w:rsidRDefault="001137C7">
      <w:bookmarkStart w:id="21" w:name="sub_36"/>
      <w:bookmarkEnd w:id="20"/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bookmarkEnd w:id="21"/>
    <w:p w:rsidR="001137C7" w:rsidRDefault="001137C7"/>
    <w:p w:rsidR="001137C7" w:rsidRDefault="001137C7">
      <w:pPr>
        <w:pStyle w:val="1"/>
      </w:pPr>
      <w:bookmarkStart w:id="22" w:name="sub_40"/>
      <w:r>
        <w:t>IV. Характеристика профессиональной деятельности выпускников, освоивших программу бакалавриата</w:t>
      </w:r>
    </w:p>
    <w:bookmarkEnd w:id="22"/>
    <w:p w:rsidR="001137C7" w:rsidRDefault="001137C7"/>
    <w:p w:rsidR="001137C7" w:rsidRDefault="001137C7">
      <w:bookmarkStart w:id="23" w:name="sub_41"/>
      <w:r>
        <w:t>4.1. Область профессиональной деятельности выпускников, освоивших программу бакалавриата, включает проектирование, исследование, производство и эксплуатацию мехатронных и робототехнических систем для применения в автоматизированном производстве, в оборонной отрасли, Министерстве внутренних дел Российской Федерации, Министерстве Российской Федерации по делам гражданской обороны, чрезвычайным ситуациям и ликвидации последствий стихийных бедствий, на транспорте, в сельском хозяйстве, в медицине и в других областях.</w:t>
      </w:r>
    </w:p>
    <w:p w:rsidR="001137C7" w:rsidRDefault="001137C7">
      <w:bookmarkStart w:id="24" w:name="sub_42"/>
      <w:bookmarkEnd w:id="23"/>
      <w:r>
        <w:t>4.2. Объектами профессиональной деятельности выпускников, освоивших программу бакалавриата, являются мехатронные и робототехнические системы, включающие информационно-сенсорные, исполнительные и управляющие модули, их математическое, алгоритмическое и программное обеспечение, методы и средства их проектирования, моделирования, экспериментального исследования, отладки и эксплуатации, научные исследования и производственные испытания мехатронных и робототехнических систем, имеющих различные области применения.</w:t>
      </w:r>
    </w:p>
    <w:p w:rsidR="001137C7" w:rsidRDefault="001137C7">
      <w:bookmarkStart w:id="25" w:name="sub_43"/>
      <w:bookmarkEnd w:id="24"/>
      <w:r>
        <w:t>4.3. Виды профессиональной деятельности, к которым готовятся выпускники, освоившие программу бакалавриата:</w:t>
      </w:r>
    </w:p>
    <w:bookmarkEnd w:id="25"/>
    <w:p w:rsidR="001137C7" w:rsidRDefault="001137C7">
      <w:r>
        <w:t>проектно-конструкторская;</w:t>
      </w:r>
    </w:p>
    <w:p w:rsidR="001137C7" w:rsidRDefault="001137C7">
      <w:r>
        <w:lastRenderedPageBreak/>
        <w:t>научно-исследовательская;</w:t>
      </w:r>
    </w:p>
    <w:p w:rsidR="001137C7" w:rsidRDefault="001137C7">
      <w:r>
        <w:t>эксплуатационная;</w:t>
      </w:r>
    </w:p>
    <w:p w:rsidR="001137C7" w:rsidRDefault="001137C7">
      <w:r>
        <w:t>организационно-управленческая;</w:t>
      </w:r>
    </w:p>
    <w:p w:rsidR="001137C7" w:rsidRDefault="001137C7">
      <w:r>
        <w:t>производственно-технологическая;</w:t>
      </w:r>
    </w:p>
    <w:p w:rsidR="001137C7" w:rsidRDefault="001137C7">
      <w:r>
        <w:t>сервисно-эксплуатационная.</w:t>
      </w:r>
    </w:p>
    <w:p w:rsidR="001137C7" w:rsidRDefault="001137C7"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1137C7" w:rsidRDefault="001137C7"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1137C7" w:rsidRDefault="001137C7"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бакалавриата);</w:t>
      </w:r>
    </w:p>
    <w:p w:rsidR="001137C7" w:rsidRDefault="001137C7">
      <w:r>
        <w:t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бакалавриата).</w:t>
      </w:r>
    </w:p>
    <w:p w:rsidR="001137C7" w:rsidRDefault="001137C7">
      <w:bookmarkStart w:id="26" w:name="sub_44"/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bookmarkEnd w:id="26"/>
    <w:p w:rsidR="001137C7" w:rsidRDefault="001137C7">
      <w:r>
        <w:t>проектно-конструкторская деятельность:</w:t>
      </w:r>
    </w:p>
    <w:p w:rsidR="001137C7" w:rsidRDefault="001137C7">
      <w:r>
        <w:t>участие в подготовке технико-экономического обоснования проектов мехатронных и робототехнических систем, их отдельных подсистем и модулей;</w:t>
      </w:r>
    </w:p>
    <w:p w:rsidR="001137C7" w:rsidRDefault="001137C7">
      <w:r>
        <w:t>расчет и проектирование отдельных блоков и устройств мехатронных и робототехнических систем, управляющих, информационно-сенсорных и исполнительных подсистем и мехатронных модулей в соответствии с техническим заданием;</w:t>
      </w:r>
    </w:p>
    <w:p w:rsidR="001137C7" w:rsidRDefault="001137C7">
      <w:r>
        <w:t>разработка специального программного обеспечения для решения задач проектирования систем, конструирования механических и мехатронных модулей, управления и обработки информации;</w:t>
      </w:r>
    </w:p>
    <w:p w:rsidR="001137C7" w:rsidRDefault="001137C7">
      <w:r>
        <w:t>анализ технологической части проекта с обоснованием его технологической реализуемости;</w:t>
      </w:r>
    </w:p>
    <w:p w:rsidR="001137C7" w:rsidRDefault="001137C7">
      <w:r>
        <w:t>оценка разрабатываемого проекта мехатронной или робототехнической системы по его экономической эффективности и необходимому метрологическому обеспечению;</w:t>
      </w:r>
    </w:p>
    <w:p w:rsidR="001137C7" w:rsidRDefault="001137C7">
      <w:r>
        <w:t>обоснование предлагаемых мер по обеспечению безопасности эксплуатации разрабатываемой системы;</w:t>
      </w:r>
    </w:p>
    <w:p w:rsidR="001137C7" w:rsidRDefault="001137C7">
      <w:r>
        <w:t>проведение предварительных испытаний составных частей опытного образца изделия по заданным программам и методикам;</w:t>
      </w:r>
    </w:p>
    <w:p w:rsidR="001137C7" w:rsidRDefault="001137C7">
      <w:r>
        <w:t>научно-исследовательская деятельность:</w:t>
      </w:r>
    </w:p>
    <w:p w:rsidR="001137C7" w:rsidRDefault="001137C7">
      <w:r>
        <w:t>анализ научно-технической информации, отечественного и зарубежного опыта в области разработки и исследования мехатронных и робототехнических систем;</w:t>
      </w:r>
    </w:p>
    <w:p w:rsidR="001137C7" w:rsidRDefault="001137C7">
      <w:r>
        <w:t>составление обзоров и рефератов;</w:t>
      </w:r>
    </w:p>
    <w:p w:rsidR="001137C7" w:rsidRDefault="001137C7">
      <w:r>
        <w:t>проведение теоретических и экспериментальных исследований с целью исследования, разработки новых образцов и совершенствования существующих мехатронных и робототехнических систем, их модулей и подсистем;</w:t>
      </w:r>
    </w:p>
    <w:p w:rsidR="001137C7" w:rsidRDefault="001137C7">
      <w:r>
        <w:t>проведение патентных исследований, сопровождающих разработку новых мехатронных и робототехнических систем, с целью защиты объектов интеллектуальной собственности, результатов исследований и разработок;</w:t>
      </w:r>
    </w:p>
    <w:p w:rsidR="001137C7" w:rsidRDefault="001137C7">
      <w:r>
        <w:lastRenderedPageBreak/>
        <w:t>разработка математических моделей роботов, мехатронных и робототехнических систем, их отдельных подсистем и модулей, проведение их исследования с помощью математического моделирования, с применением как специальных, так и универсальных программных средств, с целью обоснования принятых теоретических и конструктивных решений;</w:t>
      </w:r>
    </w:p>
    <w:p w:rsidR="001137C7" w:rsidRDefault="001137C7">
      <w:r>
        <w:t>участие в работах по организации и проведению экспериментов на действующих объектах и экспериментальных макетах мехатронных и робототехнических систем, их подсистем и отдельных модулей, обработка результатов экспериментальных исследований с применением современных информационных технологий;</w:t>
      </w:r>
    </w:p>
    <w:p w:rsidR="001137C7" w:rsidRDefault="001137C7">
      <w:r>
        <w:t>участие в составе коллектива исполнителей в проведении теоретических и экспериментальных исследований с целью исследования, разработки новых образцов и совершенствования существующих модулей и подсистем мехатронных и робототехнических систем;</w:t>
      </w:r>
    </w:p>
    <w:p w:rsidR="001137C7" w:rsidRDefault="001137C7">
      <w:r>
        <w:t>подготовка отчетов, научных публикаций и докладов на научных конференциях и семинарах, участие во внедрении результатов исследований и разработок;</w:t>
      </w:r>
    </w:p>
    <w:p w:rsidR="001137C7" w:rsidRDefault="001137C7">
      <w:r>
        <w:t>эксплуатационная деятельность:</w:t>
      </w:r>
    </w:p>
    <w:p w:rsidR="001137C7" w:rsidRDefault="001137C7">
      <w:r>
        <w:t>планирование испытаний модулей и подсистем мехатронных и робототехнических систем, участие в работах по организации и проведению экспериментов на действующих объектах и экспериментальных макетах, обработка результатов экспериментальных исследований с применением современных информационных технологий;</w:t>
      </w:r>
    </w:p>
    <w:p w:rsidR="001137C7" w:rsidRDefault="001137C7">
      <w:r>
        <w:t>оценка экономической эффективности внедрения проектируемых мехатронных и робототехнических систем, их отдельных модулей и подсистем;</w:t>
      </w:r>
    </w:p>
    <w:p w:rsidR="001137C7" w:rsidRDefault="001137C7">
      <w:r>
        <w:t>оценка потенциальных опасностей, сопровождающих эксплуатацию разрабатываемых мехатронных и робототехнических систем, обоснование мер по предотвращению таких опасностей;</w:t>
      </w:r>
    </w:p>
    <w:p w:rsidR="001137C7" w:rsidRDefault="001137C7">
      <w:r>
        <w:t>организационно-управленческая деятельность:</w:t>
      </w:r>
    </w:p>
    <w:p w:rsidR="001137C7" w:rsidRDefault="001137C7">
      <w:r>
        <w:t>планирование разработки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1137C7" w:rsidRDefault="001137C7">
      <w:r>
        <w:t>организация работы малых групп исполнителей из числа инженерно-технических работников;</w:t>
      </w:r>
    </w:p>
    <w:p w:rsidR="001137C7" w:rsidRDefault="001137C7">
      <w:r>
        <w:t>организация работы по профилактике производственного травматизма, профессиональных заболеваний;</w:t>
      </w:r>
    </w:p>
    <w:p w:rsidR="001137C7" w:rsidRDefault="001137C7">
      <w:r>
        <w:t>предотвращение экологических нарушений;</w:t>
      </w:r>
    </w:p>
    <w:p w:rsidR="001137C7" w:rsidRDefault="001137C7">
      <w:r>
        <w:t>выполнение работ по сертификации технических средств, систем, процессов, оборудования и материалов;</w:t>
      </w:r>
    </w:p>
    <w:p w:rsidR="001137C7" w:rsidRDefault="001137C7">
      <w:r>
        <w:t>производственно-технологическая деятельность:</w:t>
      </w:r>
    </w:p>
    <w:p w:rsidR="001137C7" w:rsidRDefault="001137C7">
      <w:r>
        <w:t>внедрение результатов теоретических разработок в производство мехатронных и робототехнических систем, их подсистем и отдельных модулей;</w:t>
      </w:r>
    </w:p>
    <w:p w:rsidR="001137C7" w:rsidRDefault="001137C7">
      <w:r>
        <w:t>разработка проектной конструкторской документации технического проекта, включая отдельные мехатронные модули, конструктивные элементы мехатронных и робототехнических систем, а также их электрическую и электронную части;</w:t>
      </w:r>
    </w:p>
    <w:p w:rsidR="001137C7" w:rsidRDefault="001137C7">
      <w:r>
        <w:t>разработка технологической части проекта, составление рабочей документации, участие в технологической подготовке производства, оформление отчетов по законченным проектно-конструкторским работам;</w:t>
      </w:r>
    </w:p>
    <w:p w:rsidR="001137C7" w:rsidRDefault="001137C7">
      <w: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1137C7" w:rsidRDefault="001137C7">
      <w:r>
        <w:t>участие в организации метрологического обеспечения производства;</w:t>
      </w:r>
    </w:p>
    <w:p w:rsidR="001137C7" w:rsidRDefault="001137C7">
      <w:r>
        <w:t xml:space="preserve">обеспечение экологической безопасности проектируемых устройств и систем, а </w:t>
      </w:r>
      <w:r>
        <w:lastRenderedPageBreak/>
        <w:t>также их производства;</w:t>
      </w:r>
    </w:p>
    <w:p w:rsidR="001137C7" w:rsidRDefault="001137C7">
      <w:r>
        <w:t>сервисно-эксплуатационная деятельность:</w:t>
      </w:r>
    </w:p>
    <w:p w:rsidR="001137C7" w:rsidRDefault="001137C7">
      <w:r>
        <w:t>участие в программировании, отладке, регулировке, настройке мехатронных и робототехнических систем и их подсистем в процессе их эксплуатации;</w:t>
      </w:r>
    </w:p>
    <w:p w:rsidR="001137C7" w:rsidRDefault="001137C7">
      <w:r>
        <w:t>проведение профилактического контроля технического состояния и функциональной диагностики систем;</w:t>
      </w:r>
    </w:p>
    <w:p w:rsidR="001137C7" w:rsidRDefault="001137C7">
      <w:r>
        <w:t>составление инструкций по эксплуатации мехатронных и робототехнических систем и разработка программ регламентных испытаний;</w:t>
      </w:r>
    </w:p>
    <w:p w:rsidR="001137C7" w:rsidRDefault="001137C7">
      <w:r>
        <w:t>составление заявок на оборудование и комплектующие, подготовка технической документации на ремонт оборудования.</w:t>
      </w:r>
    </w:p>
    <w:p w:rsidR="001137C7" w:rsidRDefault="001137C7"/>
    <w:p w:rsidR="001137C7" w:rsidRDefault="001137C7">
      <w:pPr>
        <w:pStyle w:val="1"/>
      </w:pPr>
      <w:bookmarkStart w:id="27" w:name="sub_50"/>
      <w:r>
        <w:t>V. Требования к результатам освоения программы бакалавриата</w:t>
      </w:r>
    </w:p>
    <w:bookmarkEnd w:id="27"/>
    <w:p w:rsidR="001137C7" w:rsidRDefault="001137C7"/>
    <w:p w:rsidR="001137C7" w:rsidRDefault="001137C7">
      <w:bookmarkStart w:id="28" w:name="sub_51"/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1137C7" w:rsidRDefault="001137C7">
      <w:bookmarkStart w:id="29" w:name="sub_52"/>
      <w:bookmarkEnd w:id="28"/>
      <w:r>
        <w:t>5.2. Выпускник, освоивший программу бакалавриата, должен обладать следующими общекультурными компетенциями:</w:t>
      </w:r>
    </w:p>
    <w:bookmarkEnd w:id="29"/>
    <w:p w:rsidR="001137C7" w:rsidRDefault="001137C7">
      <w:r>
        <w:t>способностью использовать основы философских знаний для формирования мировоззренческой позиции (ОК-1);</w:t>
      </w:r>
    </w:p>
    <w:p w:rsidR="001137C7" w:rsidRDefault="001137C7"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137C7" w:rsidRDefault="001137C7">
      <w:r>
        <w:t>способностью использовать основы экономических знаний в различных сферах деятельности (ОК-3);</w:t>
      </w:r>
    </w:p>
    <w:p w:rsidR="001137C7" w:rsidRDefault="001137C7">
      <w:r>
        <w:t>способностью использовать основы правовых знаний в различных сферах деятельности (ОК-4);</w:t>
      </w:r>
    </w:p>
    <w:p w:rsidR="001137C7" w:rsidRDefault="001137C7"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1137C7" w:rsidRDefault="001137C7"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1137C7" w:rsidRDefault="001137C7">
      <w:r>
        <w:t>способностью к самоорганизации и самообразованию (ОК-7);</w:t>
      </w:r>
    </w:p>
    <w:p w:rsidR="001137C7" w:rsidRDefault="001137C7"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1137C7" w:rsidRDefault="001137C7"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1137C7" w:rsidRDefault="001137C7">
      <w:bookmarkStart w:id="30" w:name="sub_53"/>
      <w:r>
        <w:t>5.3. Выпускник, освоивший программу бакалавриата, должен обладать следующими общепрофессиональными компетенциями:</w:t>
      </w:r>
    </w:p>
    <w:bookmarkEnd w:id="30"/>
    <w:p w:rsidR="001137C7" w:rsidRDefault="001137C7">
      <w: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1137C7" w:rsidRDefault="001137C7">
      <w:r>
        <w:t>владением физико-математическим аппаратом, необходимым для описания мехатронных и робототехнических систем (ОПК-2);</w:t>
      </w:r>
    </w:p>
    <w:p w:rsidR="001137C7" w:rsidRDefault="001137C7">
      <w:r>
        <w:t>владением современными информационными технологиями, готовностью применять современные средства автоматизированного проектирования и машинной графики при проектировании систем и их отдельных модулей, а также для подготовки конструкторско-технологической документации, соблюдать основные требования информационной безопасности (ОПК-3);</w:t>
      </w:r>
    </w:p>
    <w:p w:rsidR="001137C7" w:rsidRDefault="001137C7">
      <w:r>
        <w:lastRenderedPageBreak/>
        <w:t>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 (ОПК-4);</w:t>
      </w:r>
    </w:p>
    <w:p w:rsidR="001137C7" w:rsidRDefault="001137C7">
      <w:r>
        <w:t>способностью использовать основы экономических знаний при оценке эффективности результатов своей профессиональной деятельности (ОПК-5);</w:t>
      </w:r>
    </w:p>
    <w:p w:rsidR="001137C7" w:rsidRDefault="001137C7"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1137C7" w:rsidRDefault="001137C7">
      <w:bookmarkStart w:id="31" w:name="sub_54"/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bookmarkEnd w:id="31"/>
    <w:p w:rsidR="001137C7" w:rsidRDefault="001137C7">
      <w:r>
        <w:t>научно-исследовательская деятельность:</w:t>
      </w:r>
    </w:p>
    <w:p w:rsidR="001137C7" w:rsidRDefault="001137C7">
      <w:r>
        <w:t>способностью составлять математические модели мехатронных и робототехнических систем, их подсистем и отдельных элементов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техники (ПК-1);</w:t>
      </w:r>
    </w:p>
    <w:p w:rsidR="001137C7" w:rsidRDefault="001137C7">
      <w:r>
        <w:t>способностью разрабатывать программное обеспечение, необходимое для обработки информации и управления в мехатронных и робототехнических системах, а также для их проектирования (ПК-2);</w:t>
      </w:r>
    </w:p>
    <w:p w:rsidR="001137C7" w:rsidRDefault="001137C7">
      <w:r>
        <w:t>способностью разрабатывать экспериментальные макеты управляющих, информационных и исполнительных модулей мехатронных и робототехнических систем и проводить их экспериментальное исследование с применением современных информационных технологий (ПК-3);</w:t>
      </w:r>
    </w:p>
    <w:p w:rsidR="001137C7" w:rsidRDefault="001137C7">
      <w:r>
        <w:t>способностью осуществлять анализ научно-технической информации, обобщать отечественный и зарубежный опыт в области средств автоматизации и управления, проводить патентный поиск (ПК-4);</w:t>
      </w:r>
    </w:p>
    <w:p w:rsidR="001137C7" w:rsidRDefault="001137C7">
      <w:r>
        <w:t>способностью проводить эксперименты на действующих макетах, образцах мехатронных и робототехнических систем по заданным методикам и обрабатывать результаты с применением современных информационных технологий и технических средств (ПК-5);</w:t>
      </w:r>
    </w:p>
    <w:p w:rsidR="001137C7" w:rsidRDefault="001137C7">
      <w:r>
        <w:t>способностью проводить вычислительные эксперименты с использованием стандартных программных пакетов с целью исследования математических моделей мехатронных и робототехнических систем (ПК-6);</w:t>
      </w:r>
    </w:p>
    <w:p w:rsidR="001137C7" w:rsidRDefault="001137C7">
      <w:r>
        <w:t>готовностью участвовать в составлении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 (ПК-7);</w:t>
      </w:r>
    </w:p>
    <w:p w:rsidR="001137C7" w:rsidRDefault="001137C7">
      <w:r>
        <w:t>способностью внедрять результаты исследований и разработок и организовывать защиту прав на объекты интеллектуальной собственности (ПК-8);</w:t>
      </w:r>
    </w:p>
    <w:p w:rsidR="001137C7" w:rsidRDefault="001137C7">
      <w:r>
        <w:t>способностью участвовать в качестве исполнителя в научно-исследовательских разработках новых робототехнических и мехатронных систем (ПК-9);</w:t>
      </w:r>
    </w:p>
    <w:p w:rsidR="001137C7" w:rsidRDefault="001137C7">
      <w:r>
        <w:t>проектно-конструкторская деятельность:</w:t>
      </w:r>
    </w:p>
    <w:p w:rsidR="001137C7" w:rsidRDefault="001137C7">
      <w:r>
        <w:t>готовностью участвовать в подготовке технико-экономического обоснования проектов создания мехатронных и робототехнических систем, их подсистем и отдельных модулей (ПК-10);</w:t>
      </w:r>
    </w:p>
    <w:p w:rsidR="001137C7" w:rsidRDefault="001137C7">
      <w:r>
        <w:t xml:space="preserve">способностью производить расчёты и проектирование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</w:t>
      </w:r>
      <w:r>
        <w:lastRenderedPageBreak/>
        <w:t>вычислительной техники в соответствии с техническим заданием (ПК-11);</w:t>
      </w:r>
    </w:p>
    <w:p w:rsidR="001137C7" w:rsidRDefault="001137C7">
      <w:r>
        <w:t>способностью разрабатывать конструкторскую и проектную документацию механических, электрических и электронных узлов мехатронных и робототехнических систем в соответствии с имеющимися стандартами и техническими условиями (ПК-12);</w:t>
      </w:r>
    </w:p>
    <w:p w:rsidR="001137C7" w:rsidRDefault="001137C7">
      <w:r>
        <w:t>готовностью участвовать в проведении предварительных испытаний составных частей опытного образца мехатронной или робототехнической системы по заданным программам и методикам и вести соответствующие журналы испытаний (ПК-13);</w:t>
      </w:r>
    </w:p>
    <w:p w:rsidR="001137C7" w:rsidRDefault="001137C7">
      <w:r>
        <w:t>эксплуатационная деятельность:</w:t>
      </w:r>
    </w:p>
    <w:p w:rsidR="001137C7" w:rsidRDefault="001137C7">
      <w:r>
        <w:t>способностью планировать проведение испытаний отдельных модулей и подсистем мехатронных и робототехнических систем, участвовать в работах по организации и проведению экспериментов на действующих объектах и экспериментальных макетах, а также в обработке результатов экспериментальных исследований (ПК-14);</w:t>
      </w:r>
    </w:p>
    <w:p w:rsidR="001137C7" w:rsidRDefault="001137C7">
      <w:r>
        <w:t>способностью проводить обоснованную оценку экономической эффективности внедрения проектируемых мехатронных и робототехнических систем, их отдельных модулей и подсистем (ПК-15);</w:t>
      </w:r>
    </w:p>
    <w:p w:rsidR="001137C7" w:rsidRDefault="001137C7">
      <w:r>
        <w:t>способностью оценивать потенциальные опасности, сопровождающие испытания и эксплуатацию разрабатываемых мехатронных и робототехнических систем, и обосновывать меры по их предотвращению (ПК-16);</w:t>
      </w:r>
    </w:p>
    <w:p w:rsidR="001137C7" w:rsidRDefault="001137C7">
      <w:r>
        <w:t>организационно-управленческая деятельность:</w:t>
      </w:r>
    </w:p>
    <w:p w:rsidR="001137C7" w:rsidRDefault="001137C7">
      <w:r>
        <w:t>готовностью к организации и проведению разработки частей организационно-технической документации (графиков работ, инструкций, планов, смет) и установленной отчетности по утвержденным формам (ПК-17);</w:t>
      </w:r>
    </w:p>
    <w:p w:rsidR="001137C7" w:rsidRDefault="001137C7">
      <w:r>
        <w:t>готовностью к организации работы малых групп исполнителей из числа инженерно-технических работников (ПК-18);</w:t>
      </w:r>
    </w:p>
    <w:p w:rsidR="001137C7" w:rsidRDefault="001137C7">
      <w:r>
        <w:t>готовностью к организации работы по профилактике производственного травматизма и профессиональных заболеваний, а также по обеспечению предотвращения экологических нарушений (ПК-19);</w:t>
      </w:r>
    </w:p>
    <w:p w:rsidR="001137C7" w:rsidRDefault="001137C7">
      <w:r>
        <w:t>способностью выполнять задания в области сертификации технических средств, систем, процессов, оборудования и материалов (ПК-20);</w:t>
      </w:r>
    </w:p>
    <w:p w:rsidR="001137C7" w:rsidRDefault="001137C7">
      <w:r>
        <w:t>производственно-технологическая деятельность:</w:t>
      </w:r>
    </w:p>
    <w:p w:rsidR="001137C7" w:rsidRDefault="001137C7">
      <w:r>
        <w:t>готовностью к внедрению результатов разработок мехатронных и робототехнических систем, их подсистем и отдельных модулей в производство (ПК-21);</w:t>
      </w:r>
    </w:p>
    <w:p w:rsidR="001137C7" w:rsidRDefault="001137C7">
      <w:r>
        <w:t>способностью проводить техническое оснащение рабочих мест и размещение технологического оборудования (ПК-22);</w:t>
      </w:r>
    </w:p>
    <w:p w:rsidR="001137C7" w:rsidRDefault="001137C7">
      <w:r>
        <w:t>готовностью к участию в работах по изготовлению, отладке и сдаче в эксплуатацию мехатронных и робототехнических систем, их подсистем и отдельных модулей (ПК-23);</w:t>
      </w:r>
    </w:p>
    <w:p w:rsidR="001137C7" w:rsidRDefault="001137C7">
      <w:r>
        <w:t>способностью разрабатывать технологические процессы изготовления, сборки и испытания проектируемых узлов и агрегатов (ПК-24);</w:t>
      </w:r>
    </w:p>
    <w:p w:rsidR="001137C7" w:rsidRDefault="001137C7">
      <w:r>
        <w:t>способностью организовывать метрологическое обеспечение производства мехатронных и робототехнических систем (ПК-25);</w:t>
      </w:r>
    </w:p>
    <w:p w:rsidR="001137C7" w:rsidRDefault="001137C7">
      <w:r>
        <w:t>способностью обеспечивать экологическую безопасность проектируемых устройств автоматики и их производства (ПК-26);</w:t>
      </w:r>
    </w:p>
    <w:p w:rsidR="001137C7" w:rsidRDefault="001137C7">
      <w:r>
        <w:t>сервисно-эксплуатационная деятельность:</w:t>
      </w:r>
    </w:p>
    <w:p w:rsidR="001137C7" w:rsidRDefault="001137C7">
      <w:r>
        <w:t>готовностью участвовать в проведении предварительных испытаний составных частей опытного образца мехатронной или робототехнической системы по заданным программам и методикам и вести соответствующие журналы испытаний (ПК-27);</w:t>
      </w:r>
    </w:p>
    <w:p w:rsidR="001137C7" w:rsidRDefault="001137C7">
      <w:r>
        <w:t xml:space="preserve">способностью участвовать в монтаже, наладке, настройке и сдаче в эксплуатацию опытных образцов мехатронных и робототехнических систем, их </w:t>
      </w:r>
      <w:r>
        <w:lastRenderedPageBreak/>
        <w:t>подсистем и отдельных модулей (ПК-28);</w:t>
      </w:r>
    </w:p>
    <w:p w:rsidR="001137C7" w:rsidRDefault="001137C7">
      <w:r>
        <w:t>способностью настраивать системы управления и обработки информации, управляющие средства и комплексы и осуществлять их регламентное эксплуатационное обслуживание с использованием соответствующих инструментальных средств (ПК-29);</w:t>
      </w:r>
    </w:p>
    <w:p w:rsidR="001137C7" w:rsidRDefault="001137C7">
      <w:r>
        <w:t>готовностью осуществлять проверку технического состояния оборудования, производить его профилактический контроль и ремонт путем замены отдельных модулей (ПК-30);</w:t>
      </w:r>
    </w:p>
    <w:p w:rsidR="001137C7" w:rsidRDefault="001137C7">
      <w:r>
        <w:t>готовностью производить инсталляцию и настройку системного, прикладного и инструментального программного обеспечения мехатронных и робототехнических систем, и их подсистем (ПК-31);</w:t>
      </w:r>
    </w:p>
    <w:p w:rsidR="001137C7" w:rsidRDefault="001137C7">
      <w:r>
        <w:t>способностью разрабатывать инструкции по эксплуатации используемого технического оборудования и программного обеспечения для обслуживающего персонала (ПК-32).</w:t>
      </w:r>
    </w:p>
    <w:p w:rsidR="001137C7" w:rsidRDefault="001137C7">
      <w:bookmarkStart w:id="32" w:name="sub_55"/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1137C7" w:rsidRDefault="001137C7">
      <w:bookmarkStart w:id="33" w:name="sub_56"/>
      <w:bookmarkEnd w:id="32"/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1137C7" w:rsidRDefault="001137C7">
      <w:bookmarkStart w:id="34" w:name="sub_57"/>
      <w:bookmarkEnd w:id="33"/>
      <w:r>
        <w:t>5.7. При разработке программы бакалавриата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bookmarkEnd w:id="34"/>
    <w:p w:rsidR="001137C7" w:rsidRDefault="001137C7"/>
    <w:p w:rsidR="001137C7" w:rsidRDefault="001137C7">
      <w:pPr>
        <w:pStyle w:val="1"/>
      </w:pPr>
      <w:bookmarkStart w:id="35" w:name="sub_60"/>
      <w:r>
        <w:t>VI. Требования к структуре программы бакалавриата</w:t>
      </w:r>
    </w:p>
    <w:bookmarkEnd w:id="35"/>
    <w:p w:rsidR="001137C7" w:rsidRDefault="001137C7"/>
    <w:p w:rsidR="001137C7" w:rsidRDefault="001137C7">
      <w:bookmarkStart w:id="36" w:name="sub_61"/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1137C7" w:rsidRDefault="001137C7">
      <w:bookmarkStart w:id="37" w:name="sub_62"/>
      <w:bookmarkEnd w:id="36"/>
      <w:r>
        <w:t>6.2. Программа бакалавриата состоит из следующих блоков:</w:t>
      </w:r>
    </w:p>
    <w:bookmarkEnd w:id="37"/>
    <w:p w:rsidR="001137C7" w:rsidRDefault="001137C7">
      <w:r>
        <w:fldChar w:fldCharType="begin"/>
      </w:r>
      <w:r>
        <w:instrText>HYPERLINK \l "sub_621"</w:instrText>
      </w:r>
      <w:r>
        <w:fldChar w:fldCharType="separate"/>
      </w:r>
      <w:r>
        <w:rPr>
          <w:rStyle w:val="a4"/>
          <w:rFonts w:cs="Arial"/>
        </w:rPr>
        <w:t>Блок 1</w:t>
      </w:r>
      <w:r>
        <w:fldChar w:fldCharType="end"/>
      </w:r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1137C7" w:rsidRDefault="001137C7">
      <w:hyperlink w:anchor="sub_622" w:history="1">
        <w:r>
          <w:rPr>
            <w:rStyle w:val="a4"/>
            <w:rFonts w:cs="Arial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1137C7" w:rsidRDefault="001137C7">
      <w:hyperlink w:anchor="sub_623" w:history="1">
        <w:r>
          <w:rPr>
            <w:rStyle w:val="a4"/>
            <w:rFonts w:cs="Arial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</w:t>
      </w:r>
      <w:hyperlink w:anchor="sub_1001" w:history="1">
        <w:r>
          <w:rPr>
            <w:rStyle w:val="a4"/>
            <w:rFonts w:cs="Arial"/>
          </w:rPr>
          <w:t>*</w:t>
        </w:r>
      </w:hyperlink>
      <w:r>
        <w:t>.</w:t>
      </w:r>
    </w:p>
    <w:p w:rsidR="001137C7" w:rsidRDefault="001137C7"/>
    <w:p w:rsidR="001137C7" w:rsidRDefault="001137C7">
      <w:pPr>
        <w:pStyle w:val="1"/>
      </w:pPr>
      <w:r>
        <w:t>Структура программы бакалавриата</w:t>
      </w:r>
    </w:p>
    <w:p w:rsidR="001137C7" w:rsidRDefault="001137C7"/>
    <w:p w:rsidR="001137C7" w:rsidRDefault="001137C7">
      <w:pPr>
        <w:ind w:firstLine="698"/>
        <w:jc w:val="right"/>
      </w:pPr>
      <w:r>
        <w:rPr>
          <w:rStyle w:val="a3"/>
          <w:bCs/>
        </w:rPr>
        <w:t>Таблица</w:t>
      </w:r>
    </w:p>
    <w:p w:rsidR="001137C7" w:rsidRDefault="001137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674"/>
        <w:gridCol w:w="1972"/>
        <w:gridCol w:w="2033"/>
      </w:tblGrid>
      <w:tr w:rsidR="001137C7">
        <w:tblPrEx>
          <w:tblCellMar>
            <w:top w:w="0" w:type="dxa"/>
            <w:bottom w:w="0" w:type="dxa"/>
          </w:tblCellMar>
        </w:tblPrEx>
        <w:tc>
          <w:tcPr>
            <w:tcW w:w="6233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Объем программы бакалавриата</w:t>
            </w:r>
          </w:p>
          <w:p w:rsidR="001137C7" w:rsidRDefault="001137C7">
            <w:pPr>
              <w:pStyle w:val="aff8"/>
              <w:jc w:val="center"/>
            </w:pPr>
            <w:r>
              <w:t>в з.е.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62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137C7" w:rsidRDefault="001137C7">
            <w:pPr>
              <w:pStyle w:val="aff8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программа академического бакалавриата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программа прикладного бакалавриата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bookmarkStart w:id="38" w:name="sub_621"/>
            <w:r>
              <w:t>Блок 1</w:t>
            </w:r>
            <w:bookmarkEnd w:id="38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r>
              <w:t>Дисциплины (модули)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210 - 213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198 - 204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r>
              <w:t>Базовая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96 - 111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84 - 102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top w:val="nil"/>
              <w:bottom w:val="nil"/>
              <w:right w:val="nil"/>
            </w:tcBorders>
          </w:tcPr>
          <w:p w:rsidR="001137C7" w:rsidRDefault="001137C7">
            <w:pPr>
              <w:pStyle w:val="aff8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r>
              <w:t>Вариативная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102 - 114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102 - 114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bookmarkStart w:id="39" w:name="sub_622"/>
            <w:r>
              <w:t>Блок 2</w:t>
            </w:r>
            <w:bookmarkEnd w:id="39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r>
              <w:t>Практики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18 - 24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27 - 36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top w:val="nil"/>
              <w:bottom w:val="nil"/>
              <w:right w:val="nil"/>
            </w:tcBorders>
          </w:tcPr>
          <w:p w:rsidR="001137C7" w:rsidRDefault="001137C7">
            <w:pPr>
              <w:pStyle w:val="aff8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r>
              <w:t>Вариативная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18 - 24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27 - 36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bookmarkStart w:id="40" w:name="sub_623"/>
            <w:r>
              <w:t>Блок 3</w:t>
            </w:r>
            <w:bookmarkEnd w:id="40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r>
              <w:t>Государственная итоговая аттестация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6 - 9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6 - 9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top w:val="nil"/>
              <w:bottom w:val="nil"/>
              <w:right w:val="nil"/>
            </w:tcBorders>
          </w:tcPr>
          <w:p w:rsidR="001137C7" w:rsidRDefault="001137C7">
            <w:pPr>
              <w:pStyle w:val="aff8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f1"/>
            </w:pPr>
            <w:r>
              <w:t>Базовая часть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6 - 9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7C7" w:rsidRDefault="001137C7">
            <w:pPr>
              <w:pStyle w:val="aff8"/>
              <w:jc w:val="center"/>
            </w:pPr>
            <w:r>
              <w:t>6 - 9</w:t>
            </w:r>
          </w:p>
        </w:tc>
      </w:tr>
      <w:tr w:rsidR="001137C7">
        <w:tblPrEx>
          <w:tblCellMar>
            <w:top w:w="0" w:type="dxa"/>
            <w:bottom w:w="0" w:type="dxa"/>
          </w:tblCellMar>
        </w:tblPrEx>
        <w:tc>
          <w:tcPr>
            <w:tcW w:w="62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7C7" w:rsidRDefault="001137C7">
            <w:pPr>
              <w:pStyle w:val="afff1"/>
            </w:pPr>
            <w:r>
              <w:t>Объем программы бакалавриата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C7" w:rsidRDefault="001137C7">
            <w:pPr>
              <w:pStyle w:val="aff8"/>
              <w:jc w:val="center"/>
            </w:pPr>
            <w:r>
              <w:t>240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C7" w:rsidRDefault="001137C7">
            <w:pPr>
              <w:pStyle w:val="aff8"/>
              <w:jc w:val="center"/>
            </w:pPr>
            <w:r>
              <w:t>240</w:t>
            </w:r>
          </w:p>
        </w:tc>
      </w:tr>
    </w:tbl>
    <w:p w:rsidR="001137C7" w:rsidRDefault="001137C7"/>
    <w:p w:rsidR="001137C7" w:rsidRDefault="001137C7">
      <w:bookmarkStart w:id="41" w:name="sub_63"/>
      <w:r>
        <w:t>6.3. 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1137C7" w:rsidRDefault="001137C7">
      <w:bookmarkStart w:id="42" w:name="sub_64"/>
      <w:bookmarkEnd w:id="41"/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sub_621" w:history="1">
        <w:r>
          <w:rPr>
            <w:rStyle w:val="a4"/>
            <w:rFonts w:cs="Arial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1137C7" w:rsidRDefault="001137C7">
      <w:bookmarkStart w:id="43" w:name="sub_65"/>
      <w:bookmarkEnd w:id="42"/>
      <w:r>
        <w:t>6.5. Дисциплины (модули) по физической культуре и спорту реализуются в рамках:</w:t>
      </w:r>
    </w:p>
    <w:bookmarkEnd w:id="43"/>
    <w:p w:rsidR="001137C7" w:rsidRDefault="001137C7">
      <w:r>
        <w:t xml:space="preserve">базовой части </w:t>
      </w:r>
      <w:hyperlink w:anchor="sub_621" w:history="1">
        <w:r>
          <w:rPr>
            <w:rStyle w:val="a4"/>
            <w:rFonts w:cs="Arial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1137C7" w:rsidRDefault="001137C7"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1137C7" w:rsidRDefault="001137C7"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137C7" w:rsidRDefault="001137C7">
      <w:bookmarkStart w:id="44" w:name="sub_66"/>
      <w:r>
        <w:t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1137C7" w:rsidRDefault="001137C7">
      <w:bookmarkStart w:id="45" w:name="sub_67"/>
      <w:bookmarkEnd w:id="44"/>
      <w:r>
        <w:t xml:space="preserve">6.7. В </w:t>
      </w:r>
      <w:hyperlink w:anchor="sub_622" w:history="1">
        <w:r>
          <w:rPr>
            <w:rStyle w:val="a4"/>
            <w:rFonts w:cs="Arial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bookmarkEnd w:id="45"/>
    <w:p w:rsidR="001137C7" w:rsidRDefault="001137C7">
      <w:r>
        <w:t>Типы учебной практики:</w:t>
      </w:r>
    </w:p>
    <w:p w:rsidR="001137C7" w:rsidRDefault="001137C7">
      <w:r>
        <w:t xml:space="preserve">практика по получению первичных профессиональных умений и навыков, в том </w:t>
      </w:r>
      <w:r>
        <w:lastRenderedPageBreak/>
        <w:t>числе первичных умений и навыков научно-исследовательской деятельности.</w:t>
      </w:r>
    </w:p>
    <w:p w:rsidR="001137C7" w:rsidRDefault="001137C7">
      <w:r>
        <w:t>Способы проведения учебной практики:</w:t>
      </w:r>
    </w:p>
    <w:p w:rsidR="001137C7" w:rsidRDefault="001137C7">
      <w:r>
        <w:t>стационарная;</w:t>
      </w:r>
    </w:p>
    <w:p w:rsidR="001137C7" w:rsidRDefault="001137C7">
      <w:r>
        <w:t>выездная.</w:t>
      </w:r>
    </w:p>
    <w:p w:rsidR="001137C7" w:rsidRDefault="001137C7">
      <w:r>
        <w:t>Типы производственной практики:</w:t>
      </w:r>
    </w:p>
    <w:p w:rsidR="001137C7" w:rsidRDefault="001137C7">
      <w: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1137C7" w:rsidRDefault="001137C7">
      <w:r>
        <w:t>научно-исследовательская работа.</w:t>
      </w:r>
    </w:p>
    <w:p w:rsidR="001137C7" w:rsidRDefault="001137C7">
      <w:r>
        <w:t>Способы проведения производственной практики:</w:t>
      </w:r>
    </w:p>
    <w:p w:rsidR="001137C7" w:rsidRDefault="001137C7">
      <w:r>
        <w:t>стационарная;</w:t>
      </w:r>
    </w:p>
    <w:p w:rsidR="001137C7" w:rsidRDefault="001137C7">
      <w:r>
        <w:t>выездная.</w:t>
      </w:r>
    </w:p>
    <w:p w:rsidR="001137C7" w:rsidRDefault="001137C7"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1137C7" w:rsidRDefault="001137C7">
      <w:r>
        <w:t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к установленным настоящим ФГОС ВО.</w:t>
      </w:r>
    </w:p>
    <w:p w:rsidR="001137C7" w:rsidRDefault="001137C7">
      <w:r>
        <w:t>Учебная и (или) производственная практики могут проводиться в структурных подразделениях организации.</w:t>
      </w:r>
    </w:p>
    <w:p w:rsidR="001137C7" w:rsidRDefault="001137C7"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137C7" w:rsidRDefault="001137C7">
      <w:bookmarkStart w:id="46" w:name="sub_68"/>
      <w:r>
        <w:t xml:space="preserve">6.8. В </w:t>
      </w:r>
      <w:hyperlink w:anchor="sub_623" w:history="1">
        <w:r>
          <w:rPr>
            <w:rStyle w:val="a4"/>
            <w:rFonts w:cs="Arial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137C7" w:rsidRDefault="001137C7">
      <w:bookmarkStart w:id="47" w:name="sub_69"/>
      <w:bookmarkEnd w:id="46"/>
      <w:r>
        <w:t xml:space="preserve">6.9. Программы бакалавриата, содержащие сведения, составляющие государственную тайну, разрабатываются и реализуются с соблюдением требований, предусмотренных </w:t>
      </w:r>
      <w:hyperlink r:id="rId13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и нормативными правовыми актами в области защиты государственной тайны.</w:t>
      </w:r>
    </w:p>
    <w:p w:rsidR="001137C7" w:rsidRDefault="001137C7">
      <w:bookmarkStart w:id="48" w:name="sub_610"/>
      <w:bookmarkEnd w:id="47"/>
      <w:r>
        <w:t>6.10.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1137C7" w:rsidRDefault="001137C7">
      <w:bookmarkStart w:id="49" w:name="sub_611"/>
      <w:bookmarkEnd w:id="48"/>
      <w:r>
        <w:t>6.11.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1137C7" w:rsidRDefault="001137C7">
      <w:bookmarkStart w:id="50" w:name="sub_612"/>
      <w:bookmarkEnd w:id="49"/>
      <w:r>
        <w:t>6.12.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bookmarkEnd w:id="50"/>
    <w:p w:rsidR="001137C7" w:rsidRDefault="001137C7"/>
    <w:p w:rsidR="001137C7" w:rsidRDefault="001137C7">
      <w:pPr>
        <w:pStyle w:val="1"/>
      </w:pPr>
      <w:bookmarkStart w:id="51" w:name="sub_70"/>
      <w:r>
        <w:t>VII. Требования к условиям реализации программы бакалавриата</w:t>
      </w:r>
    </w:p>
    <w:bookmarkEnd w:id="51"/>
    <w:p w:rsidR="001137C7" w:rsidRDefault="001137C7"/>
    <w:p w:rsidR="001137C7" w:rsidRDefault="001137C7">
      <w:bookmarkStart w:id="52" w:name="sub_71"/>
      <w:r>
        <w:t>7.1. Общесистемные требования к реализации программы бакалавриата.</w:t>
      </w:r>
    </w:p>
    <w:p w:rsidR="001137C7" w:rsidRDefault="001137C7">
      <w:bookmarkStart w:id="53" w:name="sub_711"/>
      <w:bookmarkEnd w:id="52"/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</w:t>
      </w:r>
      <w:r>
        <w:lastRenderedPageBreak/>
        <w:t>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137C7" w:rsidRDefault="001137C7">
      <w:bookmarkStart w:id="54" w:name="sub_712"/>
      <w:bookmarkEnd w:id="53"/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bookmarkEnd w:id="54"/>
    <w:p w:rsidR="001137C7" w:rsidRDefault="001137C7">
      <w:r>
        <w:t>Электронная информационно-образовательная среда организации должна обеспечивать:</w:t>
      </w:r>
    </w:p>
    <w:p w:rsidR="001137C7" w:rsidRDefault="001137C7"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137C7" w:rsidRDefault="001137C7"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137C7" w:rsidRDefault="001137C7"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137C7" w:rsidRDefault="001137C7"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137C7" w:rsidRDefault="001137C7"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1137C7" w:rsidRDefault="001137C7"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1137C7" w:rsidRDefault="001137C7">
      <w:r>
        <w:t>Функционирование электронной информационно-образовательной среды должно соответствовать законодательству Российской Федерации</w:t>
      </w:r>
      <w:hyperlink w:anchor="sub_1002" w:history="1">
        <w:r>
          <w:rPr>
            <w:rStyle w:val="a4"/>
            <w:rFonts w:cs="Arial"/>
          </w:rPr>
          <w:t>**</w:t>
        </w:r>
      </w:hyperlink>
      <w:r>
        <w:t>.</w:t>
      </w:r>
    </w:p>
    <w:p w:rsidR="001137C7" w:rsidRDefault="001137C7">
      <w:bookmarkStart w:id="55" w:name="sub_713"/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137C7" w:rsidRDefault="001137C7">
      <w:bookmarkStart w:id="56" w:name="sub_714"/>
      <w:bookmarkEnd w:id="55"/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1137C7" w:rsidRDefault="001137C7">
      <w:bookmarkStart w:id="57" w:name="sub_715"/>
      <w:bookmarkEnd w:id="56"/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</w:t>
      </w:r>
      <w:hyperlink r:id="rId14" w:history="1">
        <w:r>
          <w:rPr>
            <w:rStyle w:val="a4"/>
            <w:rFonts w:cs="Arial"/>
          </w:rPr>
          <w:t>Едином квалификационном 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</w:t>
      </w:r>
      <w:hyperlink r:id="rId15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11 января 2011 г. N 1н (зарегистрирован Министерством юстиции Российской Федерации 23 марта 2011 г., регистрационный N 20237) и профессиональным стандартам (при наличии).</w:t>
      </w:r>
    </w:p>
    <w:p w:rsidR="001137C7" w:rsidRDefault="001137C7">
      <w:bookmarkStart w:id="58" w:name="sub_716"/>
      <w:bookmarkEnd w:id="57"/>
      <w:r>
        <w:t xml:space="preserve">7.1.6. Доля штатных научно-педагогических работников (в приведенных к </w:t>
      </w:r>
      <w:r>
        <w:lastRenderedPageBreak/>
        <w:t>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1137C7" w:rsidRDefault="001137C7">
      <w:bookmarkStart w:id="59" w:name="sub_717"/>
      <w:bookmarkEnd w:id="58"/>
      <w:r>
        <w:t>7.1.7. 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</w:t>
      </w:r>
      <w:hyperlink w:anchor="sub_1003" w:history="1">
        <w:r>
          <w:rPr>
            <w:rStyle w:val="a4"/>
            <w:rFonts w:cs="Arial"/>
          </w:rPr>
          <w:t>***</w:t>
        </w:r>
      </w:hyperlink>
      <w:r>
        <w:t>.</w:t>
      </w:r>
    </w:p>
    <w:p w:rsidR="001137C7" w:rsidRDefault="001137C7">
      <w:bookmarkStart w:id="60" w:name="sub_72"/>
      <w:bookmarkEnd w:id="59"/>
      <w:r>
        <w:t>7.2 Требования к кадровым условиям реализации программы бакалавриата.</w:t>
      </w:r>
    </w:p>
    <w:p w:rsidR="001137C7" w:rsidRDefault="001137C7">
      <w:bookmarkStart w:id="61" w:name="sub_721"/>
      <w:bookmarkEnd w:id="60"/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1137C7" w:rsidRDefault="001137C7">
      <w:bookmarkStart w:id="62" w:name="sub_722"/>
      <w:bookmarkEnd w:id="61"/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1137C7" w:rsidRDefault="001137C7">
      <w:bookmarkStart w:id="63" w:name="sub_723"/>
      <w:bookmarkEnd w:id="62"/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</w:p>
    <w:p w:rsidR="001137C7" w:rsidRDefault="001137C7">
      <w:bookmarkStart w:id="64" w:name="sub_724"/>
      <w:bookmarkEnd w:id="63"/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</w:p>
    <w:p w:rsidR="001137C7" w:rsidRDefault="001137C7">
      <w:bookmarkStart w:id="65" w:name="sub_73"/>
      <w:bookmarkEnd w:id="64"/>
      <w:r>
        <w:t>7.3. Требования к материально-техническому и учебно-методическому обеспечению программы бакалавриата.</w:t>
      </w:r>
    </w:p>
    <w:p w:rsidR="001137C7" w:rsidRDefault="001137C7">
      <w:bookmarkStart w:id="66" w:name="sub_731"/>
      <w:bookmarkEnd w:id="65"/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bookmarkEnd w:id="66"/>
    <w:p w:rsidR="001137C7" w:rsidRDefault="001137C7"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137C7" w:rsidRDefault="001137C7"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137C7" w:rsidRDefault="001137C7">
      <w: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lastRenderedPageBreak/>
        <w:t>организации.</w:t>
      </w:r>
    </w:p>
    <w:p w:rsidR="001137C7" w:rsidRDefault="001137C7"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1137C7" w:rsidRDefault="001137C7"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1137C7" w:rsidRDefault="001137C7">
      <w:bookmarkStart w:id="67" w:name="sub_732"/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137C7" w:rsidRDefault="001137C7">
      <w:bookmarkStart w:id="68" w:name="sub_733"/>
      <w:bookmarkEnd w:id="67"/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1137C7" w:rsidRDefault="001137C7">
      <w:bookmarkStart w:id="69" w:name="sub_734"/>
      <w:bookmarkEnd w:id="68"/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137C7" w:rsidRDefault="001137C7">
      <w:bookmarkStart w:id="70" w:name="sub_735"/>
      <w:bookmarkEnd w:id="69"/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137C7" w:rsidRDefault="001137C7">
      <w:bookmarkStart w:id="71" w:name="sub_74"/>
      <w:bookmarkEnd w:id="70"/>
      <w:r>
        <w:t>7.4. Требования к финансовым условиям реализации программы бакалавриата.</w:t>
      </w:r>
    </w:p>
    <w:p w:rsidR="001137C7" w:rsidRDefault="001137C7">
      <w:bookmarkStart w:id="72" w:name="sub_741"/>
      <w:bookmarkEnd w:id="71"/>
      <w:r>
        <w:t xml:space="preserve">7.4.1. Финансовое обеспечение реализации программы бакалавриата должно осуществляться в объёме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6" w:history="1">
        <w:r>
          <w:rPr>
            <w:rStyle w:val="a4"/>
            <w:rFonts w:cs="Arial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</w:t>
      </w:r>
      <w:hyperlink r:id="rId17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образования и науки Российской Федерации от 2 августа 2013 г. N 638 (зарегистрирован Министерством юстиции Российской Федерации 16 сентября 2013 г., регистрационный N 29967).</w:t>
      </w:r>
    </w:p>
    <w:bookmarkEnd w:id="72"/>
    <w:p w:rsidR="001137C7" w:rsidRDefault="001137C7"/>
    <w:p w:rsidR="001137C7" w:rsidRDefault="001137C7">
      <w:pPr>
        <w:pStyle w:val="afff1"/>
      </w:pPr>
      <w:r>
        <w:t>______________________________</w:t>
      </w:r>
    </w:p>
    <w:p w:rsidR="001137C7" w:rsidRDefault="001137C7">
      <w:bookmarkStart w:id="73" w:name="sub_1001"/>
      <w:r>
        <w:t xml:space="preserve">* </w:t>
      </w:r>
      <w:hyperlink r:id="rId18" w:history="1">
        <w:r>
          <w:rPr>
            <w:rStyle w:val="a4"/>
            <w:rFonts w:cs="Arial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9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582; N 27, ст. 3776).</w:t>
      </w:r>
    </w:p>
    <w:p w:rsidR="001137C7" w:rsidRDefault="001137C7">
      <w:bookmarkStart w:id="74" w:name="sub_1002"/>
      <w:bookmarkEnd w:id="73"/>
      <w:r>
        <w:t xml:space="preserve">** </w:t>
      </w:r>
      <w:hyperlink r:id="rId20" w:history="1">
        <w:r>
          <w:rPr>
            <w:rStyle w:val="a4"/>
            <w:rFonts w:cs="Arial"/>
          </w:rPr>
          <w:t>Федеральный закон</w:t>
        </w:r>
      </w:hyperlink>
      <w:r>
        <w:t xml:space="preserve"> от 27 июля 2006 г. N 149-ФЗ "Об информации, информационных технологиях и о защите информации" (Собрание законодательства Российской Федерации, 2006, N 31, ст. 3448; 2010, N 31, ст.4196; 2011, N 15, ст. 2038; N 30, ст. 4600; 2012, N 31, ст. 4328; 2013, N 14, ст. 1658; N 23, ст. 2870; N 27, ст. 3479; N 52, ст. 6961, ст. 6963; 2014, N 19, ст. 2302; N 30, ст. 4223, ст. 4243), </w:t>
      </w:r>
      <w:hyperlink r:id="rId21" w:history="1">
        <w:r>
          <w:rPr>
            <w:rStyle w:val="a4"/>
            <w:rFonts w:cs="Arial"/>
          </w:rPr>
          <w:t>Федеральный закон</w:t>
        </w:r>
      </w:hyperlink>
      <w:r>
        <w:t xml:space="preserve"> от 27 июля 2006 г. N 152-ФЗ "О персональных данных" (Собрание законодательства Российской Федерации, 2006, N 31, ст. 3451; 2009, N 48, ст. 5716; </w:t>
      </w:r>
      <w:r>
        <w:lastRenderedPageBreak/>
        <w:t>N 52, ст. 6439; 2010, N 27, ст. 3407; N 31, ст. 4173, ст. 4196; N 49, ст. 6409; 2011, N 23, ст. 3263; N 31, ст. 4701; 2013, N 14, ст. 1651; N 30, ст. 4038; N 51, ст. 6683; 2014, N 23, ст. 2927).</w:t>
      </w:r>
    </w:p>
    <w:p w:rsidR="001137C7" w:rsidRDefault="001137C7">
      <w:bookmarkStart w:id="75" w:name="sub_1003"/>
      <w:bookmarkEnd w:id="74"/>
      <w:r>
        <w:t xml:space="preserve">*** </w:t>
      </w:r>
      <w:hyperlink r:id="rId22" w:history="1">
        <w:r>
          <w:rPr>
            <w:rStyle w:val="a4"/>
            <w:rFonts w:cs="Arial"/>
          </w:rPr>
          <w:t>Пункт 4</w:t>
        </w:r>
      </w:hyperlink>
      <w:r>
        <w:t xml:space="preserve"> Правил осуществления мониторинга системы образования, утвержденных </w:t>
      </w:r>
      <w:hyperlink r:id="rId23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5 августа 2013 г. N 662 (Собрание законодательства Российской Федерации, 2013, N 33, ст. 4378).</w:t>
      </w:r>
    </w:p>
    <w:bookmarkEnd w:id="75"/>
    <w:p w:rsidR="001137C7" w:rsidRDefault="001137C7"/>
    <w:sectPr w:rsidR="001137C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D7"/>
    <w:rsid w:val="001137C7"/>
    <w:rsid w:val="00CF0FE0"/>
    <w:rsid w:val="00E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696C74-2C50-48FD-8EBD-D580F5A8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80868.150306" TargetMode="External"/><Relationship Id="rId13" Type="http://schemas.openxmlformats.org/officeDocument/2006/relationships/hyperlink" Target="garantF1://10002673.3" TargetMode="External"/><Relationship Id="rId18" Type="http://schemas.openxmlformats.org/officeDocument/2006/relationships/hyperlink" Target="garantF1://70292898.15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48567.0" TargetMode="External"/><Relationship Id="rId7" Type="http://schemas.openxmlformats.org/officeDocument/2006/relationships/hyperlink" Target="garantF1://70329496.0" TargetMode="External"/><Relationship Id="rId12" Type="http://schemas.openxmlformats.org/officeDocument/2006/relationships/hyperlink" Target="garantF1://70380868.150306" TargetMode="External"/><Relationship Id="rId17" Type="http://schemas.openxmlformats.org/officeDocument/2006/relationships/hyperlink" Target="garantF1://70357798.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0357798.1" TargetMode="External"/><Relationship Id="rId20" Type="http://schemas.openxmlformats.org/officeDocument/2006/relationships/hyperlink" Target="garantF1://1204855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29496.1017" TargetMode="External"/><Relationship Id="rId11" Type="http://schemas.openxmlformats.org/officeDocument/2006/relationships/hyperlink" Target="garantF1://5532903.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70292898.0" TargetMode="External"/><Relationship Id="rId15" Type="http://schemas.openxmlformats.org/officeDocument/2006/relationships/hyperlink" Target="garantF1://55070898.0" TargetMode="External"/><Relationship Id="rId23" Type="http://schemas.openxmlformats.org/officeDocument/2006/relationships/hyperlink" Target="garantF1://70329494.0" TargetMode="External"/><Relationship Id="rId10" Type="http://schemas.openxmlformats.org/officeDocument/2006/relationships/hyperlink" Target="garantF1://55071681.0" TargetMode="External"/><Relationship Id="rId19" Type="http://schemas.openxmlformats.org/officeDocument/2006/relationships/hyperlink" Target="garantF1://70292898.0" TargetMode="External"/><Relationship Id="rId4" Type="http://schemas.openxmlformats.org/officeDocument/2006/relationships/hyperlink" Target="garantF1://70292898.15241" TargetMode="External"/><Relationship Id="rId9" Type="http://schemas.openxmlformats.org/officeDocument/2006/relationships/hyperlink" Target="garantF1://55071485.0" TargetMode="External"/><Relationship Id="rId14" Type="http://schemas.openxmlformats.org/officeDocument/2006/relationships/hyperlink" Target="garantF1://55070898.1000" TargetMode="External"/><Relationship Id="rId22" Type="http://schemas.openxmlformats.org/officeDocument/2006/relationships/hyperlink" Target="garantF1://70329494.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6400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Евгений Сибирцев</cp:lastModifiedBy>
  <cp:revision>2</cp:revision>
  <dcterms:created xsi:type="dcterms:W3CDTF">2017-05-11T05:25:00Z</dcterms:created>
  <dcterms:modified xsi:type="dcterms:W3CDTF">2017-05-11T05:25:00Z</dcterms:modified>
</cp:coreProperties>
</file>